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799E1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66706B"/>
          <w:kern w:val="0"/>
          <w:sz w:val="15"/>
          <w:szCs w:val="15"/>
          <w:lang w:val="en-US" w:eastAsia="zh-CN" w:bidi="ar"/>
        </w:rPr>
      </w:pPr>
      <w:r>
        <w:rPr>
          <w:rFonts w:ascii="Helvetica Bold" w:hAnsi="Helvetica Bold" w:eastAsia="Helvetica Bold" w:cs="Helvetica Bold"/>
          <w:b/>
          <w:bCs/>
          <w:color w:val="365C4A"/>
          <w:kern w:val="0"/>
          <w:sz w:val="16"/>
          <w:szCs w:val="16"/>
          <w:lang w:val="en-US" w:eastAsia="zh-CN" w:bidi="ar"/>
        </w:rPr>
        <w:t>TE KAHU RONGO</w:t>
      </w:r>
      <w:r>
        <w:rPr>
          <w:rFonts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 xml:space="preserve">A </w:t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  <w:t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  <w:t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  <w:t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  <w:t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  <w:t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  <w:t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</w:r>
      <w:r>
        <w:rPr>
          <w:rFonts w:ascii="Helvetica" w:hAnsi="Helvetica" w:eastAsia="Helvetica" w:cs="Helvetica"/>
          <w:color w:val="66706B"/>
          <w:kern w:val="0"/>
          <w:sz w:val="15"/>
          <w:szCs w:val="15"/>
          <w:lang w:val="en-US" w:eastAsia="zh-CN" w:bidi="ar"/>
        </w:rPr>
        <w:t>ACC Client Informatio</w:t>
      </w:r>
      <w:r>
        <w:rPr>
          <w:rFonts w:hint="default" w:ascii="Helvetica" w:hAnsi="Helvetica" w:eastAsia="Helvetica" w:cs="Helvetica"/>
          <w:color w:val="66706B"/>
          <w:kern w:val="0"/>
          <w:sz w:val="15"/>
          <w:szCs w:val="15"/>
          <w:lang w:val="en-US" w:eastAsia="zh-CN" w:bidi="ar"/>
        </w:rPr>
        <w:t>n</w:t>
      </w:r>
    </w:p>
    <w:p w14:paraId="2C975DAB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66706B"/>
          <w:kern w:val="0"/>
          <w:sz w:val="15"/>
          <w:szCs w:val="15"/>
          <w:lang w:val="en-US" w:eastAsia="zh-CN" w:bidi="ar"/>
        </w:rPr>
      </w:pPr>
    </w:p>
    <w:p w14:paraId="673B5EF4">
      <w:pPr>
        <w:keepNext w:val="0"/>
        <w:keepLines w:val="0"/>
        <w:widowControl/>
        <w:suppressLineNumbers w:val="0"/>
        <w:ind w:firstLine="2311" w:firstLineChars="550"/>
        <w:jc w:val="left"/>
      </w:pPr>
      <w:r>
        <w:rPr>
          <w:rFonts w:ascii="Helvetica Bold" w:hAnsi="Helvetica Bold" w:eastAsia="Helvetica Bold" w:cs="Helvetica Bold"/>
          <w:b/>
          <w:bCs/>
          <w:color w:val="365C4A"/>
          <w:kern w:val="0"/>
          <w:sz w:val="42"/>
          <w:szCs w:val="42"/>
          <w:lang w:val="en-US" w:eastAsia="zh-CN" w:bidi="ar"/>
        </w:rPr>
        <w:t>TE KAHU RONGO</w:t>
      </w:r>
      <w:r>
        <w:rPr>
          <w:rFonts w:ascii="Arial" w:hAnsi="Arial" w:eastAsia="SimSun" w:cs="Arial"/>
          <w:b/>
          <w:bCs/>
          <w:color w:val="365C4A"/>
          <w:kern w:val="0"/>
          <w:sz w:val="42"/>
          <w:szCs w:val="42"/>
          <w:lang w:val="en-US" w:eastAsia="zh-CN" w:bidi="ar"/>
        </w:rPr>
        <w:t xml:space="preserve">A </w:t>
      </w:r>
    </w:p>
    <w:p w14:paraId="72E2FD02">
      <w:pPr>
        <w:keepNext w:val="0"/>
        <w:keepLines w:val="0"/>
        <w:widowControl/>
        <w:suppressLineNumbers w:val="0"/>
        <w:ind w:left="720" w:leftChars="0" w:firstLine="720" w:firstLineChars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42"/>
          <w:szCs w:val="42"/>
          <w:lang w:val="en-US" w:eastAsia="zh-CN" w:bidi="ar"/>
        </w:rPr>
      </w:pPr>
      <w:r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42"/>
          <w:szCs w:val="42"/>
          <w:lang w:val="en-US" w:eastAsia="zh-CN" w:bidi="ar"/>
        </w:rPr>
        <w:t xml:space="preserve">ACC CLIENT INFORMATION </w:t>
      </w:r>
    </w:p>
    <w:p w14:paraId="5A57FF17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42"/>
          <w:szCs w:val="42"/>
          <w:lang w:val="en-US" w:eastAsia="zh-CN" w:bidi="ar"/>
        </w:rPr>
      </w:pPr>
    </w:p>
    <w:p w14:paraId="6F6700C2">
      <w:pPr>
        <w:keepNext w:val="0"/>
        <w:keepLines w:val="0"/>
        <w:widowControl/>
        <w:suppressLineNumbers w:val="0"/>
        <w:jc w:val="left"/>
        <w:rPr>
          <w:rFonts w:ascii="Helvetica" w:hAnsi="Helvetica" w:eastAsia="Helvetica" w:cs="Helvetica"/>
          <w:color w:val="66706B"/>
          <w:kern w:val="0"/>
          <w:sz w:val="19"/>
          <w:szCs w:val="19"/>
          <w:lang w:val="en-US" w:eastAsia="zh-CN" w:bidi="ar"/>
        </w:rPr>
      </w:pPr>
      <w:r>
        <w:rPr>
          <w:rFonts w:ascii="Helvetica" w:hAnsi="Helvetica" w:eastAsia="Helvetica" w:cs="Helvetica"/>
          <w:color w:val="66706B"/>
          <w:kern w:val="0"/>
          <w:sz w:val="19"/>
          <w:szCs w:val="19"/>
          <w:lang w:val="en-US" w:eastAsia="zh-CN" w:bidi="ar"/>
        </w:rPr>
        <w:t xml:space="preserve">Information for clients accessing Te Kahu Rongoa services through ACC </w:t>
      </w:r>
    </w:p>
    <w:p w14:paraId="2259FE6F">
      <w:pPr>
        <w:keepNext w:val="0"/>
        <w:keepLines w:val="0"/>
        <w:widowControl/>
        <w:suppressLineNumbers w:val="0"/>
        <w:jc w:val="left"/>
        <w:rPr>
          <w:rFonts w:ascii="Helvetica" w:hAnsi="Helvetica" w:eastAsia="Helvetica" w:cs="Helvetica"/>
          <w:color w:val="66706B"/>
          <w:kern w:val="0"/>
          <w:sz w:val="19"/>
          <w:szCs w:val="19"/>
          <w:lang w:val="en-US" w:eastAsia="zh-CN" w:bidi="ar"/>
        </w:rPr>
      </w:pPr>
    </w:p>
    <w:p w14:paraId="49CBEC54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28332F"/>
          <w:kern w:val="0"/>
          <w:sz w:val="17"/>
          <w:szCs w:val="17"/>
          <w:lang w:val="en-US" w:eastAsia="zh-CN" w:bidi="ar"/>
        </w:rPr>
        <w:t xml:space="preserve">Document owner: </w:t>
      </w: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Te Kahu Rongoa </w:t>
      </w:r>
    </w:p>
    <w:p w14:paraId="04BAFCE4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28332F"/>
          <w:kern w:val="0"/>
          <w:sz w:val="17"/>
          <w:szCs w:val="17"/>
          <w:lang w:val="en-US" w:eastAsia="zh-CN" w:bidi="ar"/>
        </w:rPr>
        <w:t xml:space="preserve">Practitioner: </w:t>
      </w: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Ileya Baker </w:t>
      </w:r>
    </w:p>
    <w:p w14:paraId="6D30EBD8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28332F"/>
          <w:kern w:val="0"/>
          <w:sz w:val="17"/>
          <w:szCs w:val="17"/>
          <w:lang w:val="en-US" w:eastAsia="zh-CN" w:bidi="ar"/>
        </w:rPr>
        <w:t xml:space="preserve">Version: </w:t>
      </w: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1.0 </w:t>
      </w:r>
    </w:p>
    <w:p w14:paraId="5431C70D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28332F"/>
          <w:kern w:val="0"/>
          <w:sz w:val="17"/>
          <w:szCs w:val="17"/>
          <w:lang w:val="en-US" w:eastAsia="zh-CN" w:bidi="ar"/>
        </w:rPr>
        <w:t xml:space="preserve">Effective date: </w:t>
      </w: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24/09/2025 </w:t>
      </w:r>
    </w:p>
    <w:p w14:paraId="184091D5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hint="default" w:ascii="Helvetica Bold" w:hAnsi="Helvetica Bold" w:eastAsia="Helvetica Bold" w:cs="Helvetica Bold"/>
          <w:b/>
          <w:bCs/>
          <w:color w:val="28332F"/>
          <w:kern w:val="0"/>
          <w:sz w:val="17"/>
          <w:szCs w:val="17"/>
          <w:lang w:val="en-US" w:eastAsia="zh-CN" w:bidi="ar"/>
        </w:rPr>
        <w:t xml:space="preserve">Last reviewed: </w:t>
      </w: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>03/09/2026</w:t>
      </w:r>
    </w:p>
    <w:p w14:paraId="01A4E6E4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78190ACF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  <w:r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 xml:space="preserve">About ACC-funded services </w:t>
      </w:r>
    </w:p>
    <w:p w14:paraId="17490128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</w:p>
    <w:p w14:paraId="0108CBA8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Te Kahu Rongoa may provide services to eligible ACC clients where the practitioner, service and treatment are appropriately authorised, registered or contracted with ACC and the relevant ACC requirements are met. </w:t>
      </w:r>
    </w:p>
    <w:p w14:paraId="1BCFDFA9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633068BA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42A88ED1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  <w:r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 xml:space="preserve">ACC funding and eligibility </w:t>
      </w:r>
    </w:p>
    <w:p w14:paraId="1F4B835F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</w:p>
    <w:p w14:paraId="47E5C205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ACC funding is dependent on your individual claim, eligibility, treatment pathway and the applicable ACC arrangements. Not every service, appointment or treatment is necessarily fully funded. Where you may have a private contribution or another cost, this should be explained to you before treatment wherever reasonably practicable. </w:t>
      </w:r>
    </w:p>
    <w:p w14:paraId="5E5A1583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581B70BE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74D02D98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  <w:r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 xml:space="preserve">Your ACC information </w:t>
      </w:r>
    </w:p>
    <w:p w14:paraId="3B7EF736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</w:p>
    <w:p w14:paraId="76B9761E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>Information required to provide an ACC service may include your name, contact details, ACC claim information, injury-related information, treatment information and information needed for invoicing or reporting</w:t>
      </w:r>
    </w:p>
    <w:p w14:paraId="2BDF05C7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2D71A396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5BE9BAF0">
      <w:pPr>
        <w:keepNext w:val="0"/>
        <w:keepLines w:val="0"/>
        <w:widowControl/>
        <w:suppressLineNumbers w:val="0"/>
        <w:jc w:val="left"/>
        <w:rPr>
          <w:rFonts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  <w:r>
        <w:rPr>
          <w:rFonts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>Why information may be provided to ACC</w:t>
      </w:r>
    </w:p>
    <w:p w14:paraId="4A8F9A81">
      <w:pPr>
        <w:keepNext w:val="0"/>
        <w:keepLines w:val="0"/>
        <w:widowControl/>
        <w:suppressLineNumbers w:val="0"/>
        <w:jc w:val="left"/>
      </w:pPr>
      <w:r>
        <w:rPr>
          <w:rFonts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 xml:space="preserve"> </w:t>
      </w:r>
    </w:p>
    <w:p w14:paraId="291A0A09">
      <w:pPr>
        <w:keepNext w:val="0"/>
        <w:keepLines w:val="0"/>
        <w:widowControl/>
        <w:suppressLineNumbers w:val="0"/>
        <w:jc w:val="left"/>
      </w:pPr>
      <w:r>
        <w:rPr>
          <w:rFonts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• To support treatment and rehabilitation </w:t>
      </w:r>
    </w:p>
    <w:p w14:paraId="074A09E9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• To administer or invoice an ACC-funded service </w:t>
      </w:r>
    </w:p>
    <w:p w14:paraId="1FF8DE48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• To communicate relevant treatment information where required </w:t>
      </w:r>
    </w:p>
    <w:p w14:paraId="37C925AF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• To meet ACC provider obligations </w:t>
      </w:r>
    </w:p>
    <w:p w14:paraId="28CECCF0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>• To manage your claim and associated services.</w:t>
      </w:r>
    </w:p>
    <w:p w14:paraId="46204070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21D7C2C9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 </w:t>
      </w:r>
    </w:p>
    <w:p w14:paraId="16AFFD40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  <w:r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 xml:space="preserve">Your privacy </w:t>
      </w:r>
    </w:p>
    <w:p w14:paraId="0E93692F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</w:p>
    <w:p w14:paraId="40B6301C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>ACC-related health and personal information is handled under applicable New Zealand privacy requirements and ACC's information-handling obligations. Te Kahu Rongoa will only provide information that is appropriately authorised, required or otherwise permitted under the relevant legal or service arrangement.</w:t>
      </w:r>
    </w:p>
    <w:p w14:paraId="728A437F"/>
    <w:p w14:paraId="0AFF657D"/>
    <w:p w14:paraId="2C59646D"/>
    <w:p w14:paraId="326C46D0"/>
    <w:p w14:paraId="5241C793"/>
    <w:p w14:paraId="7C3E5CC7">
      <w:pPr>
        <w:keepNext w:val="0"/>
        <w:keepLines w:val="0"/>
        <w:widowControl/>
        <w:suppressLineNumbers w:val="0"/>
        <w:jc w:val="left"/>
      </w:pPr>
      <w:r>
        <w:rPr>
          <w:rFonts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>Te Tairawhiti | Gisborne</w:t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ab/>
        <w:t/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ab/>
        <w:t xml:space="preserve">                  </w:t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 xml:space="preserve">Client document       </w:t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ab/>
        <w:t/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ab/>
        <w:t/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ab/>
        <w:t xml:space="preserve">                                 Page 1</w:t>
      </w:r>
    </w:p>
    <w:p w14:paraId="0D5E6FE6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ascii="Helvetica Bold" w:hAnsi="Helvetica Bold" w:eastAsia="Helvetica Bold" w:cs="Helvetica Bold"/>
          <w:b/>
          <w:bCs/>
          <w:color w:val="365C4A"/>
          <w:kern w:val="0"/>
          <w:sz w:val="16"/>
          <w:szCs w:val="16"/>
          <w:lang w:val="en-US" w:eastAsia="zh-CN" w:bidi="ar"/>
        </w:rPr>
        <w:t>TE KAHU RONGO</w:t>
      </w:r>
      <w:r>
        <w:rPr>
          <w:rFonts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 xml:space="preserve">A </w:t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</w:r>
      <w:r>
        <w:rPr>
          <w:rFonts w:hint="default" w:ascii="Arial" w:hAnsi="Arial" w:eastAsia="SimSun" w:cs="Arial"/>
          <w:b/>
          <w:bCs/>
          <w:color w:val="365C4A"/>
          <w:kern w:val="0"/>
          <w:sz w:val="16"/>
          <w:szCs w:val="16"/>
          <w:lang w:val="en-US" w:eastAsia="zh-CN" w:bidi="ar"/>
        </w:rPr>
        <w:tab/>
      </w:r>
      <w:r>
        <w:rPr>
          <w:rFonts w:ascii="Helvetica" w:hAnsi="Helvetica" w:eastAsia="Helvetica" w:cs="Helvetica"/>
          <w:color w:val="66706B"/>
          <w:kern w:val="0"/>
          <w:sz w:val="15"/>
          <w:szCs w:val="15"/>
          <w:lang w:val="en-US" w:eastAsia="zh-CN" w:bidi="ar"/>
        </w:rPr>
        <w:t>ACC Client Informatio</w:t>
      </w:r>
      <w:r>
        <w:rPr>
          <w:rFonts w:hint="default" w:ascii="Helvetica" w:hAnsi="Helvetica" w:eastAsia="Helvetica" w:cs="Helvetica"/>
          <w:color w:val="66706B"/>
          <w:kern w:val="0"/>
          <w:sz w:val="15"/>
          <w:szCs w:val="15"/>
          <w:lang w:val="en-US" w:eastAsia="zh-CN" w:bidi="ar"/>
        </w:rPr>
        <w:t>n</w:t>
      </w:r>
    </w:p>
    <w:p w14:paraId="1A8CD4A4">
      <w:pPr>
        <w:keepNext w:val="0"/>
        <w:keepLines w:val="0"/>
        <w:widowControl/>
        <w:suppressLineNumbers w:val="0"/>
        <w:jc w:val="left"/>
      </w:pPr>
      <w:r>
        <w:rPr>
          <w:rFonts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 xml:space="preserve"> </w:t>
      </w:r>
    </w:p>
    <w:p w14:paraId="17B11F6D">
      <w:pPr>
        <w:keepNext w:val="0"/>
        <w:keepLines w:val="0"/>
        <w:widowControl/>
        <w:suppressLineNumbers w:val="0"/>
        <w:jc w:val="left"/>
        <w:rPr>
          <w:rFonts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  <w:r>
        <w:rPr>
          <w:rFonts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 xml:space="preserve">Consent and treatment </w:t>
      </w:r>
    </w:p>
    <w:p w14:paraId="704A6D70">
      <w:pPr>
        <w:keepNext w:val="0"/>
        <w:keepLines w:val="0"/>
        <w:widowControl/>
        <w:suppressLineNumbers w:val="0"/>
        <w:jc w:val="left"/>
        <w:rPr>
          <w:rFonts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</w:p>
    <w:p w14:paraId="0A1096F1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ACC funding does not remove your right to informed choice and consent. You can ask what treatment is proposed, </w:t>
      </w: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why it is being recommended and what costs or funding arrangements apply. You may decline or stop treatment. </w:t>
      </w:r>
    </w:p>
    <w:p w14:paraId="43BA5D7F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51BE24B0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5E59A6F7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  <w:r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 xml:space="preserve">Treatment records </w:t>
      </w:r>
    </w:p>
    <w:p w14:paraId="43609697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</w:p>
    <w:p w14:paraId="359B3D68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>Appropriate records are maintained for ACC services. Records may include assessment information, treatment provided, relevant observations, recommendations, follow-up and information required for ACC administration.</w:t>
      </w:r>
    </w:p>
    <w:p w14:paraId="26F34E78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1D62554F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 </w:t>
      </w:r>
    </w:p>
    <w:p w14:paraId="5F74C172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  <w:r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>ACC claim changes</w:t>
      </w:r>
    </w:p>
    <w:p w14:paraId="6D3E35D7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 xml:space="preserve"> </w:t>
      </w:r>
    </w:p>
    <w:p w14:paraId="798FD210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Please tell Te Kahu Rongoa if there are changes to your ACC claim, treatment approval, provider arrangements or contact details that may affect your service. </w:t>
      </w:r>
    </w:p>
    <w:p w14:paraId="3034E84D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4223913F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26B51139">
      <w:pPr>
        <w:keepNext w:val="0"/>
        <w:keepLines w:val="0"/>
        <w:widowControl/>
        <w:suppressLineNumbers w:val="0"/>
        <w:jc w:val="left"/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</w:pPr>
      <w:r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>If ACC does not cover a service</w:t>
      </w:r>
    </w:p>
    <w:p w14:paraId="2269F836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 xml:space="preserve"> </w:t>
      </w:r>
    </w:p>
    <w:p w14:paraId="7F25488F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Where a service is not covered, funding has ended, approval is not available, or a service falls outside the applicable ACC arrangement, you may be offered a private appointment where appropriate. The applicable fee should be confirmed before proceeding. </w:t>
      </w:r>
    </w:p>
    <w:p w14:paraId="0D1C1B25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090B4367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0B3CB359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365C4A"/>
          <w:kern w:val="0"/>
          <w:sz w:val="28"/>
          <w:szCs w:val="28"/>
          <w:lang w:val="en-US" w:eastAsia="zh-CN" w:bidi="ar"/>
        </w:rPr>
        <w:t xml:space="preserve">Client checklist </w:t>
      </w:r>
    </w:p>
    <w:p w14:paraId="1075F5CF">
      <w:pPr>
        <w:keepNext w:val="0"/>
        <w:keepLines w:val="0"/>
        <w:widowControl/>
        <w:suppressLineNumbers w:val="0"/>
        <w:jc w:val="left"/>
      </w:pPr>
    </w:p>
    <w:p w14:paraId="60512FAA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* I understand that ACC funding depends on eligibility and the applicable ACC arrangements. </w:t>
      </w:r>
    </w:p>
    <w:p w14:paraId="76588539">
      <w:pPr>
        <w:keepNext w:val="0"/>
        <w:keepLines w:val="0"/>
        <w:widowControl/>
        <w:suppressLineNumbers w:val="0"/>
        <w:jc w:val="left"/>
      </w:pPr>
    </w:p>
    <w:p w14:paraId="56F39420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* I understand that some services or costs may not be funded by ACC. </w:t>
      </w:r>
    </w:p>
    <w:p w14:paraId="6B010FE5">
      <w:pPr>
        <w:keepNext w:val="0"/>
        <w:keepLines w:val="0"/>
        <w:widowControl/>
        <w:suppressLineNumbers w:val="0"/>
        <w:jc w:val="left"/>
      </w:pPr>
      <w:r>
        <w:rPr>
          <w:rFonts w:hint="default" w:ascii="Zapf Dingbats" w:hAnsi="Zapf Dingbats" w:eastAsia="Zapf Dingbats" w:cs="Zapf Dingbats"/>
          <w:color w:val="28332F"/>
          <w:kern w:val="0"/>
          <w:sz w:val="18"/>
          <w:szCs w:val="18"/>
          <w:lang w:val="en-US" w:eastAsia="zh-CN" w:bidi="ar"/>
        </w:rPr>
        <w:t xml:space="preserve"> </w:t>
      </w:r>
    </w:p>
    <w:p w14:paraId="1F27E044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* I have had an opportunity to ask questions about my treatment and funding arrangements. </w:t>
      </w:r>
    </w:p>
    <w:p w14:paraId="6399AEB0">
      <w:pPr>
        <w:keepNext w:val="0"/>
        <w:keepLines w:val="0"/>
        <w:widowControl/>
        <w:suppressLineNumbers w:val="0"/>
        <w:jc w:val="left"/>
      </w:pPr>
      <w:r>
        <w:rPr>
          <w:rFonts w:hint="default" w:ascii="Zapf Dingbats" w:hAnsi="Zapf Dingbats" w:eastAsia="Zapf Dingbats" w:cs="Zapf Dingbats"/>
          <w:color w:val="28332F"/>
          <w:kern w:val="0"/>
          <w:sz w:val="18"/>
          <w:szCs w:val="18"/>
          <w:lang w:val="en-US" w:eastAsia="zh-CN" w:bidi="ar"/>
        </w:rPr>
        <w:t xml:space="preserve"> </w:t>
      </w:r>
    </w:p>
    <w:p w14:paraId="7E459AF1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* I understand that I can decline or stop treatment. </w:t>
      </w:r>
    </w:p>
    <w:p w14:paraId="0A1C3925">
      <w:pPr>
        <w:keepNext w:val="0"/>
        <w:keepLines w:val="0"/>
        <w:widowControl/>
        <w:suppressLineNumbers w:val="0"/>
        <w:jc w:val="left"/>
      </w:pPr>
      <w:r>
        <w:rPr>
          <w:rFonts w:hint="default" w:ascii="Zapf Dingbats" w:hAnsi="Zapf Dingbats" w:eastAsia="Zapf Dingbats" w:cs="Zapf Dingbats"/>
          <w:color w:val="28332F"/>
          <w:kern w:val="0"/>
          <w:sz w:val="18"/>
          <w:szCs w:val="18"/>
          <w:lang w:val="en-US" w:eastAsia="zh-CN" w:bidi="ar"/>
        </w:rPr>
        <w:t xml:space="preserve"> </w:t>
      </w:r>
    </w:p>
    <w:p w14:paraId="5315941B">
      <w:pPr>
        <w:keepNext w:val="0"/>
        <w:keepLines w:val="0"/>
        <w:widowControl/>
        <w:suppressLineNumbers w:val="0"/>
        <w:ind w:left="94" w:hanging="94" w:hangingChars="5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>* I understand that relevant information may need to be provided to ACC for legitimate treatment, rehabilitation or administration purposes.</w:t>
      </w:r>
    </w:p>
    <w:p w14:paraId="5A441E79">
      <w:pPr>
        <w:keepNext w:val="0"/>
        <w:keepLines w:val="0"/>
        <w:widowControl/>
        <w:suppressLineNumbers w:val="0"/>
        <w:ind w:left="94" w:hanging="94" w:hangingChars="5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6E6A410B">
      <w:pPr>
        <w:keepNext w:val="0"/>
        <w:keepLines w:val="0"/>
        <w:widowControl/>
        <w:suppressLineNumbers w:val="0"/>
        <w:ind w:left="94" w:hanging="94" w:hangingChars="5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5E12483B">
      <w:pPr>
        <w:keepNext w:val="0"/>
        <w:keepLines w:val="0"/>
        <w:widowControl/>
        <w:suppressLineNumbers w:val="0"/>
        <w:jc w:val="left"/>
      </w:pPr>
      <w:r>
        <w:rPr>
          <w:rFonts w:ascii="Helvetica Bold" w:hAnsi="Helvetica Bold" w:eastAsia="Helvetica Bold" w:cs="Helvetica Bold"/>
          <w:b/>
          <w:bCs/>
          <w:color w:val="28332F"/>
          <w:kern w:val="0"/>
          <w:sz w:val="17"/>
          <w:szCs w:val="17"/>
          <w:lang w:val="en-US" w:eastAsia="zh-CN" w:bidi="ar"/>
        </w:rPr>
        <w:t xml:space="preserve">Client name </w:t>
      </w:r>
    </w:p>
    <w:p w14:paraId="4F3B6108">
      <w:pPr>
        <w:keepNext w:val="0"/>
        <w:keepLines w:val="0"/>
        <w:widowControl/>
        <w:suppressLineNumbers w:val="0"/>
        <w:jc w:val="left"/>
      </w:pPr>
      <w:r>
        <w:rPr>
          <w:rFonts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____________________________________________ </w:t>
      </w:r>
    </w:p>
    <w:p w14:paraId="527A8446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28332F"/>
          <w:kern w:val="0"/>
          <w:sz w:val="17"/>
          <w:szCs w:val="17"/>
          <w:lang w:val="en-US" w:eastAsia="zh-CN" w:bidi="ar"/>
        </w:rPr>
        <w:t xml:space="preserve">ACC claim number (if applicable) </w:t>
      </w:r>
    </w:p>
    <w:p w14:paraId="0A286426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____________________________________________ </w:t>
      </w:r>
    </w:p>
    <w:p w14:paraId="13DF78DE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28332F"/>
          <w:kern w:val="0"/>
          <w:sz w:val="17"/>
          <w:szCs w:val="17"/>
          <w:lang w:val="en-US" w:eastAsia="zh-CN" w:bidi="ar"/>
        </w:rPr>
        <w:t xml:space="preserve">Date </w:t>
      </w:r>
    </w:p>
    <w:p w14:paraId="31B99383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____________________________________________ </w:t>
      </w:r>
    </w:p>
    <w:p w14:paraId="15293137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28332F"/>
          <w:kern w:val="0"/>
          <w:sz w:val="17"/>
          <w:szCs w:val="17"/>
          <w:lang w:val="en-US" w:eastAsia="zh-CN" w:bidi="ar"/>
        </w:rPr>
        <w:t xml:space="preserve">Client signature </w:t>
      </w:r>
    </w:p>
    <w:p w14:paraId="411665E4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____________________________________________ </w:t>
      </w:r>
    </w:p>
    <w:p w14:paraId="271578FC">
      <w:pPr>
        <w:keepNext w:val="0"/>
        <w:keepLines w:val="0"/>
        <w:widowControl/>
        <w:suppressLineNumbers w:val="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>This document provides general client information and does not replace ACC's own rules, decisions, contracts or individual claim requirements.</w:t>
      </w:r>
    </w:p>
    <w:p w14:paraId="3A73F55F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  <w:t xml:space="preserve"> </w:t>
      </w:r>
    </w:p>
    <w:p w14:paraId="537EF11F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66706B"/>
          <w:kern w:val="0"/>
          <w:sz w:val="15"/>
          <w:szCs w:val="15"/>
          <w:lang w:val="en-US" w:eastAsia="zh-CN" w:bidi="ar"/>
        </w:rPr>
        <w:t xml:space="preserve">Contact </w:t>
      </w:r>
    </w:p>
    <w:p w14:paraId="06A9903B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66706B"/>
          <w:kern w:val="0"/>
          <w:sz w:val="15"/>
          <w:szCs w:val="15"/>
          <w:lang w:val="en-US" w:eastAsia="zh-CN" w:bidi="ar"/>
        </w:rPr>
        <w:t xml:space="preserve">Te Kahu Rongoā | Te Tairāwhiti / Gisborne </w:t>
      </w:r>
    </w:p>
    <w:p w14:paraId="5D2BD70D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color w:val="66706B"/>
          <w:kern w:val="0"/>
          <w:sz w:val="15"/>
          <w:szCs w:val="15"/>
          <w:lang w:val="en-US" w:eastAsia="zh-CN" w:bidi="ar"/>
        </w:rPr>
        <w:t xml:space="preserve">Email: hello@tekahurongoa.com | Phone: 02040792020 </w:t>
      </w:r>
    </w:p>
    <w:p w14:paraId="47533F1C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default" w:ascii="Helvetica" w:hAnsi="Helvetica" w:eastAsia="Helvetica" w:cs="Helvetica"/>
          <w:color w:val="66706B"/>
          <w:kern w:val="0"/>
          <w:sz w:val="15"/>
          <w:szCs w:val="15"/>
          <w:lang w:val="en-US" w:eastAsia="zh-CN" w:bidi="ar"/>
        </w:rPr>
        <w:t>Website: www.te-kahu-rongoa.com</w:t>
      </w:r>
    </w:p>
    <w:p w14:paraId="0B2A1D89">
      <w:pPr>
        <w:keepNext w:val="0"/>
        <w:keepLines w:val="0"/>
        <w:widowControl/>
        <w:suppressLineNumbers w:val="0"/>
        <w:jc w:val="left"/>
      </w:pPr>
      <w:r>
        <w:rPr>
          <w:rFonts w:hint="default" w:ascii="Helvetica Bold" w:hAnsi="Helvetica Bold" w:eastAsia="Helvetica Bold" w:cs="Helvetica Bold"/>
          <w:b/>
          <w:bCs/>
          <w:color w:val="66706B"/>
          <w:kern w:val="0"/>
          <w:sz w:val="15"/>
          <w:szCs w:val="15"/>
          <w:lang w:val="en-US" w:eastAsia="zh-CN" w:bidi="ar"/>
        </w:rPr>
        <w:t>Document control:</w:t>
      </w:r>
      <w:r>
        <w:rPr>
          <w:rFonts w:hint="default" w:ascii="Helvetica" w:hAnsi="Helvetica" w:eastAsia="Helvetica" w:cs="Helvetica"/>
          <w:color w:val="66706B"/>
          <w:kern w:val="0"/>
          <w:sz w:val="15"/>
          <w:szCs w:val="15"/>
          <w:lang w:val="en-US" w:eastAsia="zh-CN" w:bidi="ar"/>
        </w:rPr>
        <w:t xml:space="preserve"> To be reviewed annually or when requirements change</w:t>
      </w:r>
    </w:p>
    <w:p w14:paraId="1560D337">
      <w:pPr>
        <w:keepNext w:val="0"/>
        <w:keepLines w:val="0"/>
        <w:widowControl/>
        <w:suppressLineNumbers w:val="0"/>
        <w:ind w:left="94" w:hanging="94" w:hangingChars="50"/>
        <w:jc w:val="left"/>
        <w:rPr>
          <w:rFonts w:hint="default" w:ascii="Helvetica" w:hAnsi="Helvetica" w:eastAsia="Helvetica" w:cs="Helvetica"/>
          <w:color w:val="28332F"/>
          <w:kern w:val="0"/>
          <w:sz w:val="18"/>
          <w:szCs w:val="18"/>
          <w:lang w:val="en-US" w:eastAsia="zh-CN" w:bidi="ar"/>
        </w:rPr>
      </w:pPr>
    </w:p>
    <w:p w14:paraId="69D83C4B"/>
    <w:p w14:paraId="5CCF2E5A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>Te Tairawhiti | Gisborne</w:t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ab/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ab/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 xml:space="preserve">                  Client document       </w:t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ab/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ab/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ab/>
      </w:r>
      <w:r>
        <w:rPr>
          <w:rFonts w:hint="default" w:ascii="Helvetica" w:hAnsi="Helvetica" w:eastAsia="Helvetica" w:cs="Helvetica"/>
          <w:color w:val="66706B"/>
          <w:kern w:val="0"/>
          <w:sz w:val="14"/>
          <w:szCs w:val="14"/>
          <w:lang w:val="en-US" w:eastAsia="zh-CN" w:bidi="ar"/>
        </w:rPr>
        <w:t xml:space="preserve">                                 Page 2</w:t>
      </w:r>
      <w:bookmarkStart w:id="0" w:name="_GoBack"/>
      <w:bookmarkEnd w:id="0"/>
    </w:p>
    <w:p w14:paraId="07AE59B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Helvetica Bold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Zapf Dingbats">
    <w:panose1 w:val="05020102010704020609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FF6235"/>
    <w:rsid w:val="9FFBF18A"/>
    <w:rsid w:val="F5FF6235"/>
    <w:rsid w:val="FF7D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2026-09-27T22:37:00Z</dcterms:created>
  <dc:creator>Rere Luxxe</dc:creator>
  <cp:lastModifiedBy>Rere Luxxe</cp:lastModifiedBy>
  <dcterms:modified xsi:type="dcterms:W3CDTF">2026-09-27T22:52:35Z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1033-12.1.28496.28496</vt:lpwstr>
  </property>
  <property fmtid="{D5CDD505-2E9C-101B-9397-08002B2CF9AE}" pid="3" name="ICV">
    <vt:lpwstr>D67D08E050E96E0363E7B86A5C1F3CFA_43</vt:lpwstr>
  </property>
</Properties>
</file>